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D3BD" w14:textId="77777777" w:rsidR="008D7145" w:rsidRPr="008D7145" w:rsidRDefault="008D7145" w:rsidP="008D7145">
      <w:pPr>
        <w:spacing w:after="120" w:line="240" w:lineRule="auto"/>
        <w:rPr>
          <w:rFonts w:ascii="Arial" w:eastAsia="Times New Roman" w:hAnsi="Arial" w:cs="Times New Roman"/>
          <w:b/>
          <w:bCs/>
          <w:color w:val="000000"/>
          <w:kern w:val="0"/>
          <w:lang w:eastAsia="en-GB"/>
          <w14:ligatures w14:val="none"/>
        </w:rPr>
      </w:pPr>
      <w:r w:rsidRPr="008D7145">
        <w:rPr>
          <w:rFonts w:ascii="Arial" w:eastAsia="Times New Roman" w:hAnsi="Arial" w:cs="Times New Roman"/>
          <w:b/>
          <w:bCs/>
          <w:color w:val="000000"/>
          <w:kern w:val="0"/>
          <w:lang w:eastAsia="en-GB"/>
          <w14:ligatures w14:val="none"/>
        </w:rPr>
        <w:t>Appendix 1 Pay Policy</w:t>
      </w:r>
    </w:p>
    <w:p w14:paraId="13F9ACC4" w14:textId="77777777" w:rsidR="008D7145" w:rsidRPr="008D7145" w:rsidRDefault="008D7145" w:rsidP="008D7145">
      <w:pPr>
        <w:spacing w:after="120" w:line="240" w:lineRule="auto"/>
        <w:rPr>
          <w:rFonts w:ascii="Arial" w:eastAsia="Times New Roman" w:hAnsi="Arial" w:cs="Times New Roman"/>
          <w:b/>
          <w:bCs/>
          <w:color w:val="000000"/>
          <w:kern w:val="0"/>
          <w:lang w:eastAsia="en-GB"/>
          <w14:ligatures w14:val="none"/>
        </w:rPr>
      </w:pPr>
    </w:p>
    <w:p w14:paraId="6C658A08" w14:textId="77777777" w:rsidR="008D7145" w:rsidRPr="008D7145" w:rsidRDefault="008D7145" w:rsidP="008D7145">
      <w:pPr>
        <w:spacing w:after="240" w:line="240" w:lineRule="auto"/>
        <w:ind w:left="851" w:hanging="851"/>
        <w:contextualSpacing/>
        <w:jc w:val="right"/>
        <w:rPr>
          <w:rFonts w:ascii="Arial" w:eastAsia="Times New Roman" w:hAnsi="Arial" w:cs="Times New Roman"/>
          <w:b/>
          <w:color w:val="1F4E79"/>
          <w:spacing w:val="-10"/>
          <w:kern w:val="28"/>
          <w:sz w:val="36"/>
          <w:szCs w:val="56"/>
          <w14:ligatures w14:val="none"/>
        </w:rPr>
      </w:pPr>
      <w:r w:rsidRPr="008D7145">
        <w:rPr>
          <w:rFonts w:ascii="Arial" w:eastAsia="Times New Roman" w:hAnsi="Arial" w:cs="Times New Roman"/>
          <w:b/>
          <w:noProof/>
          <w:color w:val="1F4E79"/>
          <w:spacing w:val="-10"/>
          <w:kern w:val="28"/>
          <w:sz w:val="36"/>
          <w:szCs w:val="56"/>
          <w:lang w:eastAsia="en-GB"/>
          <w14:ligatures w14:val="none"/>
        </w:rPr>
        <w:drawing>
          <wp:inline distT="0" distB="0" distL="0" distR="0" wp14:anchorId="3F6792C5" wp14:editId="03766B95">
            <wp:extent cx="693886" cy="928688"/>
            <wp:effectExtent l="0" t="0" r="0" b="5080"/>
            <wp:docPr id="866702195" name="Picture 866702195" descr="Oxford City Council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owman\Downloads\Blue JPEG Oxford City Council 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069" cy="939641"/>
                    </a:xfrm>
                    <a:prstGeom prst="rect">
                      <a:avLst/>
                    </a:prstGeom>
                    <a:noFill/>
                    <a:ln>
                      <a:noFill/>
                    </a:ln>
                  </pic:spPr>
                </pic:pic>
              </a:graphicData>
            </a:graphic>
          </wp:inline>
        </w:drawing>
      </w:r>
    </w:p>
    <w:p w14:paraId="0E6D42E8" w14:textId="77777777" w:rsidR="008D7145" w:rsidRPr="008D7145" w:rsidRDefault="008D7145" w:rsidP="008D7145">
      <w:pPr>
        <w:numPr>
          <w:ilvl w:val="1"/>
          <w:numId w:val="0"/>
        </w:numPr>
        <w:spacing w:line="480" w:lineRule="auto"/>
        <w:ind w:left="737" w:hanging="737"/>
        <w:rPr>
          <w:rFonts w:ascii="Arial" w:eastAsia="Times New Roman" w:hAnsi="Arial" w:cs="Times New Roman"/>
          <w:b/>
          <w:color w:val="1F4E79"/>
          <w:spacing w:val="-10"/>
          <w:kern w:val="28"/>
          <w:sz w:val="36"/>
          <w:szCs w:val="56"/>
          <w14:ligatures w14:val="none"/>
        </w:rPr>
      </w:pPr>
      <w:r w:rsidRPr="008D7145">
        <w:rPr>
          <w:rFonts w:ascii="Arial" w:eastAsia="Times New Roman" w:hAnsi="Arial" w:cs="Times New Roman"/>
          <w:b/>
          <w:color w:val="1F4E79"/>
          <w:spacing w:val="-10"/>
          <w:kern w:val="28"/>
          <w:sz w:val="36"/>
          <w:szCs w:val="56"/>
          <w14:ligatures w14:val="none"/>
        </w:rPr>
        <w:t>Pay Policy and Procedure</w:t>
      </w:r>
    </w:p>
    <w:bookmarkStart w:id="0" w:name="_Hlk202377219" w:displacedByCustomXml="next"/>
    <w:sdt>
      <w:sdtPr>
        <w:rPr>
          <w:rFonts w:ascii="Arial" w:eastAsia="Calibri" w:hAnsi="Arial" w:cs="Arial"/>
          <w:kern w:val="0"/>
          <w:szCs w:val="22"/>
          <w14:ligatures w14:val="none"/>
        </w:rPr>
        <w:id w:val="-1917398212"/>
        <w:docPartObj>
          <w:docPartGallery w:val="Table of Contents"/>
          <w:docPartUnique/>
        </w:docPartObj>
      </w:sdtPr>
      <w:sdtEndPr>
        <w:rPr>
          <w:rFonts w:cs="Times New Roman"/>
          <w:b/>
          <w:bCs/>
          <w:noProof/>
        </w:rPr>
      </w:sdtEndPr>
      <w:sdtContent>
        <w:p w14:paraId="10AC6446" w14:textId="77777777" w:rsidR="008D7145" w:rsidRPr="008D7145" w:rsidRDefault="008D7145" w:rsidP="008D7145">
          <w:pPr>
            <w:keepNext/>
            <w:keepLines/>
            <w:tabs>
              <w:tab w:val="left" w:pos="454"/>
            </w:tabs>
            <w:spacing w:before="240" w:after="0" w:line="240" w:lineRule="auto"/>
            <w:rPr>
              <w:rFonts w:ascii="Arial" w:eastAsia="Times New Roman" w:hAnsi="Arial" w:cs="Arial"/>
              <w:color w:val="2E74B5"/>
              <w:kern w:val="0"/>
              <w:sz w:val="28"/>
              <w:szCs w:val="32"/>
              <w:lang w:val="en-US"/>
              <w14:ligatures w14:val="none"/>
            </w:rPr>
          </w:pPr>
          <w:r w:rsidRPr="008D7145">
            <w:rPr>
              <w:rFonts w:ascii="Arial" w:eastAsia="Times New Roman" w:hAnsi="Arial" w:cs="Arial"/>
              <w:color w:val="2E74B5"/>
              <w:kern w:val="0"/>
              <w:sz w:val="28"/>
              <w:szCs w:val="32"/>
              <w:lang w:val="en-US"/>
              <w14:ligatures w14:val="none"/>
            </w:rPr>
            <w:t>Contents</w:t>
          </w:r>
        </w:p>
        <w:p w14:paraId="408F886D"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r w:rsidRPr="008D7145">
            <w:rPr>
              <w:rFonts w:ascii="Arial" w:eastAsia="Calibri" w:hAnsi="Arial" w:cs="Times New Roman"/>
              <w:b/>
              <w:bCs/>
              <w:noProof/>
              <w:kern w:val="0"/>
              <w:szCs w:val="22"/>
              <w14:ligatures w14:val="none"/>
            </w:rPr>
            <w:fldChar w:fldCharType="begin"/>
          </w:r>
          <w:r w:rsidRPr="008D7145">
            <w:rPr>
              <w:rFonts w:ascii="Arial" w:eastAsia="Calibri" w:hAnsi="Arial" w:cs="Times New Roman"/>
              <w:b/>
              <w:bCs/>
              <w:noProof/>
              <w:kern w:val="0"/>
              <w:szCs w:val="22"/>
              <w14:ligatures w14:val="none"/>
            </w:rPr>
            <w:instrText xml:space="preserve"> TOC \o "1-3" \h \z \u </w:instrText>
          </w:r>
          <w:r w:rsidRPr="008D7145">
            <w:rPr>
              <w:rFonts w:ascii="Arial" w:eastAsia="Calibri" w:hAnsi="Arial" w:cs="Times New Roman"/>
              <w:b/>
              <w:bCs/>
              <w:noProof/>
              <w:kern w:val="0"/>
              <w:szCs w:val="22"/>
              <w14:ligatures w14:val="none"/>
            </w:rPr>
            <w:fldChar w:fldCharType="separate"/>
          </w:r>
          <w:hyperlink w:anchor="_Toc194317627" w:history="1">
            <w:r w:rsidRPr="008D7145">
              <w:rPr>
                <w:rFonts w:ascii="Arial" w:eastAsia="Calibri" w:hAnsi="Arial" w:cs="Times New Roman"/>
                <w:noProof/>
                <w:color w:val="0563C1"/>
                <w:kern w:val="0"/>
                <w:szCs w:val="22"/>
                <w:u w:val="single"/>
                <w14:ligatures w14:val="none"/>
              </w:rPr>
              <w:t>1</w:t>
            </w:r>
            <w:r w:rsidRPr="008D7145">
              <w:rPr>
                <w:rFonts w:ascii="Calibri" w:eastAsia="Times New Roman" w:hAnsi="Calibri" w:cs="Times New Roman"/>
                <w:noProof/>
                <w:lang w:eastAsia="en-GB"/>
              </w:rPr>
              <w:tab/>
            </w:r>
            <w:r w:rsidRPr="008D7145">
              <w:rPr>
                <w:rFonts w:ascii="Arial" w:eastAsia="Calibri" w:hAnsi="Arial" w:cs="Times New Roman"/>
                <w:noProof/>
                <w:color w:val="0563C1"/>
                <w:kern w:val="0"/>
                <w:szCs w:val="22"/>
                <w:u w:val="single"/>
                <w14:ligatures w14:val="none"/>
              </w:rPr>
              <w:t>Introduction</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_Toc194317627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1</w:t>
            </w:r>
            <w:r w:rsidRPr="008D7145">
              <w:rPr>
                <w:rFonts w:ascii="Arial" w:eastAsia="Calibri" w:hAnsi="Arial" w:cs="Times New Roman"/>
                <w:noProof/>
                <w:webHidden/>
                <w:kern w:val="0"/>
                <w:szCs w:val="22"/>
                <w14:ligatures w14:val="none"/>
              </w:rPr>
              <w:fldChar w:fldCharType="end"/>
            </w:r>
          </w:hyperlink>
        </w:p>
        <w:p w14:paraId="5D71A3E0"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hyperlink w:anchor="_Toc194317628" w:history="1">
            <w:r w:rsidRPr="008D7145">
              <w:rPr>
                <w:rFonts w:ascii="Arial" w:eastAsia="Calibri" w:hAnsi="Arial" w:cs="Times New Roman"/>
                <w:noProof/>
                <w:color w:val="0563C1"/>
                <w:kern w:val="0"/>
                <w:szCs w:val="22"/>
                <w:u w:val="single"/>
                <w14:ligatures w14:val="none"/>
              </w:rPr>
              <w:t>2</w:t>
            </w:r>
            <w:r w:rsidRPr="008D7145">
              <w:rPr>
                <w:rFonts w:ascii="Calibri" w:eastAsia="Times New Roman" w:hAnsi="Calibri" w:cs="Times New Roman"/>
                <w:noProof/>
                <w:lang w:eastAsia="en-GB"/>
              </w:rPr>
              <w:tab/>
            </w:r>
            <w:r w:rsidRPr="008D7145">
              <w:rPr>
                <w:rFonts w:ascii="Arial" w:eastAsia="Calibri" w:hAnsi="Arial" w:cs="Times New Roman"/>
                <w:noProof/>
                <w:color w:val="0563C1"/>
                <w:kern w:val="0"/>
                <w:szCs w:val="22"/>
                <w:u w:val="single"/>
                <w14:ligatures w14:val="none"/>
              </w:rPr>
              <w:t>Who this policy covers</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_Toc194317628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1</w:t>
            </w:r>
            <w:r w:rsidRPr="008D7145">
              <w:rPr>
                <w:rFonts w:ascii="Arial" w:eastAsia="Calibri" w:hAnsi="Arial" w:cs="Times New Roman"/>
                <w:noProof/>
                <w:webHidden/>
                <w:kern w:val="0"/>
                <w:szCs w:val="22"/>
                <w14:ligatures w14:val="none"/>
              </w:rPr>
              <w:fldChar w:fldCharType="end"/>
            </w:r>
          </w:hyperlink>
        </w:p>
        <w:p w14:paraId="6BA89FE4"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hyperlink w:anchor="_Toc194317629" w:history="1">
            <w:r w:rsidRPr="008D7145">
              <w:rPr>
                <w:rFonts w:ascii="Arial" w:eastAsia="Times New Roman" w:hAnsi="Arial" w:cs="Times New Roman"/>
                <w:noProof/>
                <w:color w:val="0563C1"/>
                <w:kern w:val="0"/>
                <w:szCs w:val="22"/>
                <w:u w:val="single"/>
                <w14:ligatures w14:val="none"/>
              </w:rPr>
              <w:t>3</w:t>
            </w:r>
            <w:r w:rsidRPr="008D7145">
              <w:rPr>
                <w:rFonts w:ascii="Calibri" w:eastAsia="Times New Roman" w:hAnsi="Calibri" w:cs="Times New Roman"/>
                <w:noProof/>
                <w:lang w:eastAsia="en-GB"/>
              </w:rPr>
              <w:tab/>
            </w:r>
            <w:r w:rsidRPr="008D7145">
              <w:rPr>
                <w:rFonts w:ascii="Arial" w:eastAsia="Times New Roman" w:hAnsi="Arial" w:cs="Times New Roman"/>
                <w:noProof/>
                <w:color w:val="0563C1"/>
                <w:kern w:val="0"/>
                <w:szCs w:val="22"/>
                <w:u w:val="single"/>
                <w14:ligatures w14:val="none"/>
              </w:rPr>
              <w:t>The Pay Structure</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_Toc194317629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1</w:t>
            </w:r>
            <w:r w:rsidRPr="008D7145">
              <w:rPr>
                <w:rFonts w:ascii="Arial" w:eastAsia="Calibri" w:hAnsi="Arial" w:cs="Times New Roman"/>
                <w:noProof/>
                <w:webHidden/>
                <w:kern w:val="0"/>
                <w:szCs w:val="22"/>
                <w14:ligatures w14:val="none"/>
              </w:rPr>
              <w:fldChar w:fldCharType="end"/>
            </w:r>
          </w:hyperlink>
        </w:p>
        <w:p w14:paraId="3F0ACDA9"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hyperlink w:anchor="_Toc194317630" w:history="1">
            <w:r w:rsidRPr="008D7145">
              <w:rPr>
                <w:rFonts w:ascii="Arial" w:eastAsia="Calibri" w:hAnsi="Arial" w:cs="Times New Roman"/>
                <w:noProof/>
                <w:color w:val="0563C1"/>
                <w:kern w:val="0"/>
                <w:szCs w:val="22"/>
                <w:u w:val="single"/>
                <w14:ligatures w14:val="none"/>
              </w:rPr>
              <w:t>4</w:t>
            </w:r>
            <w:r w:rsidRPr="008D7145">
              <w:rPr>
                <w:rFonts w:ascii="Calibri" w:eastAsia="Times New Roman" w:hAnsi="Calibri" w:cs="Times New Roman"/>
                <w:noProof/>
                <w:lang w:eastAsia="en-GB"/>
              </w:rPr>
              <w:tab/>
            </w:r>
            <w:r w:rsidRPr="008D7145">
              <w:rPr>
                <w:rFonts w:ascii="Arial" w:eastAsia="Calibri" w:hAnsi="Arial" w:cs="Times New Roman"/>
                <w:noProof/>
                <w:color w:val="0563C1"/>
                <w:kern w:val="0"/>
                <w:szCs w:val="22"/>
                <w:u w:val="single"/>
                <w14:ligatures w14:val="none"/>
              </w:rPr>
              <w:t>Career development schemes</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_Toc194317630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2</w:t>
            </w:r>
            <w:r w:rsidRPr="008D7145">
              <w:rPr>
                <w:rFonts w:ascii="Arial" w:eastAsia="Calibri" w:hAnsi="Arial" w:cs="Times New Roman"/>
                <w:noProof/>
                <w:webHidden/>
                <w:kern w:val="0"/>
                <w:szCs w:val="22"/>
                <w14:ligatures w14:val="none"/>
              </w:rPr>
              <w:fldChar w:fldCharType="end"/>
            </w:r>
          </w:hyperlink>
        </w:p>
        <w:p w14:paraId="1C80B286"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hyperlink w:anchor="_Toc194317633" w:history="1">
            <w:r w:rsidRPr="008D7145">
              <w:rPr>
                <w:rFonts w:ascii="Arial" w:eastAsia="Calibri" w:hAnsi="Arial" w:cs="Times New Roman"/>
                <w:noProof/>
                <w:color w:val="0563C1"/>
                <w:kern w:val="0"/>
                <w:szCs w:val="22"/>
                <w:u w:val="single"/>
                <w14:ligatures w14:val="none"/>
              </w:rPr>
              <w:t>5</w:t>
            </w:r>
            <w:r w:rsidRPr="008D7145">
              <w:rPr>
                <w:rFonts w:ascii="Calibri" w:eastAsia="Times New Roman" w:hAnsi="Calibri" w:cs="Times New Roman"/>
                <w:noProof/>
                <w:lang w:eastAsia="en-GB"/>
              </w:rPr>
              <w:tab/>
            </w:r>
            <w:r w:rsidRPr="008D7145">
              <w:rPr>
                <w:rFonts w:ascii="Arial" w:eastAsia="Calibri" w:hAnsi="Arial" w:cs="Times New Roman"/>
                <w:noProof/>
                <w:color w:val="0563C1"/>
                <w:kern w:val="0"/>
                <w:szCs w:val="22"/>
                <w:u w:val="single"/>
                <w14:ligatures w14:val="none"/>
              </w:rPr>
              <w:t>Honoraria</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_Toc194317633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3</w:t>
            </w:r>
            <w:r w:rsidRPr="008D7145">
              <w:rPr>
                <w:rFonts w:ascii="Arial" w:eastAsia="Calibri" w:hAnsi="Arial" w:cs="Times New Roman"/>
                <w:noProof/>
                <w:webHidden/>
                <w:kern w:val="0"/>
                <w:szCs w:val="22"/>
                <w14:ligatures w14:val="none"/>
              </w:rPr>
              <w:fldChar w:fldCharType="end"/>
            </w:r>
          </w:hyperlink>
        </w:p>
        <w:p w14:paraId="104D8843"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hyperlink w:anchor="_Toc194317636" w:history="1">
            <w:r w:rsidRPr="008D7145">
              <w:rPr>
                <w:rFonts w:ascii="Arial" w:eastAsia="Calibri" w:hAnsi="Arial" w:cs="Times New Roman"/>
                <w:noProof/>
                <w:color w:val="0563C1"/>
                <w:kern w:val="0"/>
                <w:szCs w:val="22"/>
                <w:u w:val="single"/>
                <w14:ligatures w14:val="none"/>
              </w:rPr>
              <w:t>6</w:t>
            </w:r>
            <w:r w:rsidRPr="008D7145">
              <w:rPr>
                <w:rFonts w:ascii="Calibri" w:eastAsia="Times New Roman" w:hAnsi="Calibri" w:cs="Times New Roman"/>
                <w:noProof/>
                <w:lang w:eastAsia="en-GB"/>
              </w:rPr>
              <w:tab/>
            </w:r>
            <w:r w:rsidRPr="008D7145">
              <w:rPr>
                <w:rFonts w:ascii="Arial" w:eastAsia="Calibri" w:hAnsi="Arial" w:cs="Times New Roman"/>
                <w:noProof/>
                <w:color w:val="0563C1"/>
                <w:kern w:val="0"/>
                <w:szCs w:val="22"/>
                <w:u w:val="single"/>
                <w14:ligatures w14:val="none"/>
              </w:rPr>
              <w:t>Acting up allowances</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_Toc194317636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3</w:t>
            </w:r>
            <w:r w:rsidRPr="008D7145">
              <w:rPr>
                <w:rFonts w:ascii="Arial" w:eastAsia="Calibri" w:hAnsi="Arial" w:cs="Times New Roman"/>
                <w:noProof/>
                <w:webHidden/>
                <w:kern w:val="0"/>
                <w:szCs w:val="22"/>
                <w14:ligatures w14:val="none"/>
              </w:rPr>
              <w:fldChar w:fldCharType="end"/>
            </w:r>
          </w:hyperlink>
        </w:p>
        <w:p w14:paraId="0971340E" w14:textId="77777777" w:rsidR="008D7145" w:rsidRPr="008D7145" w:rsidRDefault="008D7145" w:rsidP="008D7145">
          <w:pPr>
            <w:numPr>
              <w:ilvl w:val="0"/>
              <w:numId w:val="1"/>
            </w:numPr>
            <w:tabs>
              <w:tab w:val="left" w:pos="567"/>
              <w:tab w:val="right" w:leader="dot" w:pos="9736"/>
            </w:tabs>
            <w:spacing w:after="100" w:line="240" w:lineRule="auto"/>
            <w:rPr>
              <w:rFonts w:ascii="Calibri" w:eastAsia="Times New Roman" w:hAnsi="Calibri" w:cs="Times New Roman"/>
              <w:noProof/>
              <w:lang w:eastAsia="en-GB"/>
            </w:rPr>
          </w:pPr>
          <w:hyperlink w:anchor="_Toc194317637" w:history="1">
            <w:r w:rsidRPr="008D7145">
              <w:rPr>
                <w:rFonts w:ascii="Arial" w:eastAsia="Times New Roman" w:hAnsi="Arial" w:cs="Times New Roman"/>
                <w:noProof/>
                <w:color w:val="0563C1"/>
                <w:kern w:val="0"/>
                <w:szCs w:val="22"/>
                <w:u w:val="single"/>
                <w14:ligatures w14:val="none"/>
              </w:rPr>
              <w:t>7</w:t>
            </w:r>
            <w:r w:rsidRPr="008D7145">
              <w:rPr>
                <w:rFonts w:ascii="Calibri" w:eastAsia="Times New Roman" w:hAnsi="Calibri" w:cs="Times New Roman"/>
                <w:noProof/>
                <w:lang w:eastAsia="en-GB"/>
              </w:rPr>
              <w:tab/>
            </w:r>
            <w:r w:rsidRPr="008D7145">
              <w:rPr>
                <w:rFonts w:ascii="Arial" w:eastAsia="Times New Roman" w:hAnsi="Arial" w:cs="Times New Roman"/>
                <w:noProof/>
                <w:color w:val="0563C1"/>
                <w:kern w:val="0"/>
                <w:szCs w:val="22"/>
                <w:u w:val="single"/>
                <w14:ligatures w14:val="none"/>
              </w:rPr>
              <w:t>Monitoring and review</w:t>
            </w:r>
            <w:r w:rsidRPr="008D7145">
              <w:rPr>
                <w:rFonts w:ascii="Arial" w:eastAsia="Calibri" w:hAnsi="Arial" w:cs="Times New Roman"/>
                <w:noProof/>
                <w:webHidden/>
                <w:kern w:val="0"/>
                <w:szCs w:val="22"/>
                <w14:ligatures w14:val="none"/>
              </w:rPr>
              <w:tab/>
            </w:r>
            <w:r w:rsidRPr="008D7145">
              <w:rPr>
                <w:rFonts w:ascii="Arial" w:eastAsia="Calibri" w:hAnsi="Arial" w:cs="Times New Roman"/>
                <w:noProof/>
                <w:webHidden/>
                <w:kern w:val="0"/>
                <w:szCs w:val="22"/>
                <w14:ligatures w14:val="none"/>
              </w:rPr>
              <w:fldChar w:fldCharType="begin"/>
            </w:r>
            <w:r w:rsidRPr="008D7145">
              <w:rPr>
                <w:rFonts w:ascii="Arial" w:eastAsia="Calibri" w:hAnsi="Arial" w:cs="Times New Roman"/>
                <w:noProof/>
                <w:webHidden/>
                <w:kern w:val="0"/>
                <w:szCs w:val="22"/>
                <w14:ligatures w14:val="none"/>
              </w:rPr>
              <w:instrText xml:space="preserve"> PAGEREF _Toc194317637 \h </w:instrText>
            </w:r>
            <w:r w:rsidRPr="008D7145">
              <w:rPr>
                <w:rFonts w:ascii="Arial" w:eastAsia="Calibri" w:hAnsi="Arial" w:cs="Times New Roman"/>
                <w:noProof/>
                <w:webHidden/>
                <w:kern w:val="0"/>
                <w:szCs w:val="22"/>
                <w14:ligatures w14:val="none"/>
              </w:rPr>
            </w:r>
            <w:r w:rsidRPr="008D7145">
              <w:rPr>
                <w:rFonts w:ascii="Arial" w:eastAsia="Calibri" w:hAnsi="Arial" w:cs="Times New Roman"/>
                <w:noProof/>
                <w:webHidden/>
                <w:kern w:val="0"/>
                <w:szCs w:val="22"/>
                <w14:ligatures w14:val="none"/>
              </w:rPr>
              <w:fldChar w:fldCharType="separate"/>
            </w:r>
            <w:r w:rsidRPr="008D7145">
              <w:rPr>
                <w:rFonts w:ascii="Arial" w:eastAsia="Calibri" w:hAnsi="Arial" w:cs="Times New Roman"/>
                <w:noProof/>
                <w:webHidden/>
                <w:kern w:val="0"/>
                <w:szCs w:val="22"/>
                <w14:ligatures w14:val="none"/>
              </w:rPr>
              <w:t>4</w:t>
            </w:r>
            <w:r w:rsidRPr="008D7145">
              <w:rPr>
                <w:rFonts w:ascii="Arial" w:eastAsia="Calibri" w:hAnsi="Arial" w:cs="Times New Roman"/>
                <w:noProof/>
                <w:webHidden/>
                <w:kern w:val="0"/>
                <w:szCs w:val="22"/>
                <w14:ligatures w14:val="none"/>
              </w:rPr>
              <w:fldChar w:fldCharType="end"/>
            </w:r>
          </w:hyperlink>
        </w:p>
        <w:p w14:paraId="56E6BC06" w14:textId="77777777" w:rsidR="008D7145" w:rsidRPr="008D7145" w:rsidRDefault="008D7145" w:rsidP="008D7145">
          <w:pPr>
            <w:spacing w:after="240" w:line="240" w:lineRule="auto"/>
            <w:rPr>
              <w:rFonts w:ascii="Arial" w:eastAsia="Calibri" w:hAnsi="Arial" w:cs="Times New Roman"/>
              <w:b/>
              <w:bCs/>
              <w:noProof/>
              <w:kern w:val="0"/>
              <w:szCs w:val="22"/>
              <w14:ligatures w14:val="none"/>
            </w:rPr>
          </w:pPr>
          <w:r w:rsidRPr="008D7145">
            <w:rPr>
              <w:rFonts w:ascii="Arial" w:eastAsia="Calibri" w:hAnsi="Arial" w:cs="Times New Roman"/>
              <w:b/>
              <w:bCs/>
              <w:noProof/>
              <w:kern w:val="0"/>
              <w:szCs w:val="22"/>
              <w14:ligatures w14:val="none"/>
            </w:rPr>
            <w:fldChar w:fldCharType="end"/>
          </w:r>
        </w:p>
      </w:sdtContent>
    </w:sdt>
    <w:bookmarkEnd w:id="0" w:displacedByCustomXml="prev"/>
    <w:p w14:paraId="6CC82232" w14:textId="77777777" w:rsidR="008D7145" w:rsidRPr="008D7145" w:rsidRDefault="008D7145" w:rsidP="008D7145">
      <w:pPr>
        <w:keepNext/>
        <w:keepLines/>
        <w:tabs>
          <w:tab w:val="left" w:pos="454"/>
        </w:tabs>
        <w:spacing w:before="240" w:after="240" w:line="240" w:lineRule="auto"/>
        <w:ind w:left="360" w:hanging="360"/>
        <w:outlineLvl w:val="0"/>
        <w:rPr>
          <w:rFonts w:ascii="Arial" w:eastAsia="Times New Roman" w:hAnsi="Arial" w:cs="Times New Roman"/>
          <w:b/>
          <w:color w:val="2E74B5"/>
          <w:kern w:val="0"/>
          <w:sz w:val="26"/>
          <w:szCs w:val="32"/>
          <w14:ligatures w14:val="none"/>
        </w:rPr>
      </w:pPr>
      <w:bookmarkStart w:id="1" w:name="_Toc165991828"/>
      <w:bookmarkStart w:id="2" w:name="_Toc167803795"/>
      <w:bookmarkStart w:id="3" w:name="_Toc194317627"/>
      <w:r w:rsidRPr="008D7145">
        <w:rPr>
          <w:rFonts w:ascii="Arial" w:eastAsia="Times New Roman" w:hAnsi="Arial" w:cs="Times New Roman"/>
          <w:b/>
          <w:color w:val="2E74B5"/>
          <w:kern w:val="0"/>
          <w:sz w:val="26"/>
          <w:szCs w:val="32"/>
          <w14:ligatures w14:val="none"/>
        </w:rPr>
        <w:t>Introduction</w:t>
      </w:r>
      <w:bookmarkEnd w:id="1"/>
      <w:bookmarkEnd w:id="2"/>
      <w:bookmarkEnd w:id="3"/>
    </w:p>
    <w:p w14:paraId="54D4C735" w14:textId="77777777" w:rsidR="008D7145" w:rsidRPr="008D7145" w:rsidRDefault="008D7145" w:rsidP="008D7145">
      <w:pPr>
        <w:numPr>
          <w:ilvl w:val="1"/>
          <w:numId w:val="0"/>
        </w:numPr>
        <w:spacing w:after="0" w:line="240" w:lineRule="auto"/>
        <w:ind w:left="850" w:hanging="850"/>
        <w:contextualSpacing/>
        <w:rPr>
          <w:rFonts w:ascii="Arial" w:eastAsia="Calibri" w:hAnsi="Arial" w:cs="Times New Roman"/>
          <w:kern w:val="0"/>
          <w:lang w:eastAsia="en-GB"/>
          <w14:ligatures w14:val="none"/>
        </w:rPr>
      </w:pPr>
      <w:bookmarkStart w:id="4" w:name="_Toc165991829"/>
      <w:bookmarkStart w:id="5" w:name="_Toc167803796"/>
      <w:r w:rsidRPr="008D7145">
        <w:rPr>
          <w:rFonts w:ascii="Arial" w:eastAsia="Calibri" w:hAnsi="Arial" w:cs="Times New Roman"/>
          <w:kern w:val="0"/>
          <w:lang w:eastAsia="en-GB"/>
          <w14:ligatures w14:val="none"/>
        </w:rPr>
        <w:t>It is critical for the success of Oxford City Council that we recruit and retain the talented people we need to deliver great services to the residents of Oxford. To do this the Council has to offer competitive rates of pay in the local and broader labour market, whilst making sure employees are paid fairly and free from bias or discrimination.</w:t>
      </w:r>
    </w:p>
    <w:p w14:paraId="01EB1D97" w14:textId="77777777" w:rsidR="008D7145" w:rsidRPr="008D7145" w:rsidRDefault="008D7145" w:rsidP="008D7145">
      <w:pPr>
        <w:spacing w:after="0" w:line="240" w:lineRule="auto"/>
        <w:ind w:left="850"/>
        <w:contextualSpacing/>
        <w:rPr>
          <w:rFonts w:ascii="Arial" w:eastAsia="Calibri" w:hAnsi="Arial" w:cs="Times New Roman"/>
          <w:kern w:val="0"/>
          <w:lang w:eastAsia="en-GB"/>
          <w14:ligatures w14:val="none"/>
        </w:rPr>
      </w:pPr>
    </w:p>
    <w:p w14:paraId="33DADB76" w14:textId="77777777" w:rsidR="008D7145" w:rsidRPr="008D7145" w:rsidRDefault="008D7145" w:rsidP="008D7145">
      <w:pPr>
        <w:keepNext/>
        <w:keepLines/>
        <w:tabs>
          <w:tab w:val="left" w:pos="454"/>
        </w:tabs>
        <w:spacing w:before="240" w:after="120" w:line="240" w:lineRule="auto"/>
        <w:ind w:left="360" w:hanging="360"/>
        <w:outlineLvl w:val="0"/>
        <w:rPr>
          <w:rFonts w:ascii="Arial" w:eastAsia="Times New Roman" w:hAnsi="Arial" w:cs="Times New Roman"/>
          <w:b/>
          <w:color w:val="2E74B5"/>
          <w:kern w:val="0"/>
          <w:sz w:val="26"/>
          <w:szCs w:val="32"/>
          <w14:ligatures w14:val="none"/>
        </w:rPr>
      </w:pPr>
      <w:bookmarkStart w:id="6" w:name="_Toc194317628"/>
      <w:r w:rsidRPr="008D7145">
        <w:rPr>
          <w:rFonts w:ascii="Arial" w:eastAsia="Times New Roman" w:hAnsi="Arial" w:cs="Times New Roman"/>
          <w:b/>
          <w:color w:val="2E74B5"/>
          <w:kern w:val="0"/>
          <w:sz w:val="26"/>
          <w:szCs w:val="32"/>
          <w14:ligatures w14:val="none"/>
        </w:rPr>
        <w:t>Who this policy covers</w:t>
      </w:r>
      <w:bookmarkEnd w:id="4"/>
      <w:bookmarkEnd w:id="5"/>
      <w:bookmarkEnd w:id="6"/>
    </w:p>
    <w:p w14:paraId="6E21FAC9"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2.1</w:t>
      </w:r>
      <w:r w:rsidRPr="008D7145">
        <w:rPr>
          <w:rFonts w:ascii="Arial" w:eastAsia="Calibri" w:hAnsi="Arial" w:cs="Times New Roman"/>
          <w:kern w:val="0"/>
          <w:szCs w:val="22"/>
          <w14:ligatures w14:val="none"/>
        </w:rPr>
        <w:tab/>
      </w:r>
      <w:bookmarkStart w:id="7" w:name="_Toc165991830"/>
      <w:bookmarkStart w:id="8" w:name="_Toc167803797"/>
      <w:r w:rsidRPr="008D7145">
        <w:rPr>
          <w:rFonts w:ascii="Arial" w:eastAsia="Calibri" w:hAnsi="Arial" w:cs="Times New Roman"/>
          <w:kern w:val="0"/>
          <w:szCs w:val="22"/>
          <w14:ligatures w14:val="none"/>
        </w:rPr>
        <w:t xml:space="preserve">This policy applies to all employees at Oxford City Council except for the Chief Executive and Deputy Chief Executives. </w:t>
      </w:r>
    </w:p>
    <w:p w14:paraId="289ED55A"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2.2</w:t>
      </w:r>
      <w:r w:rsidRPr="008D7145">
        <w:rPr>
          <w:rFonts w:ascii="Arial" w:eastAsia="Calibri" w:hAnsi="Arial" w:cs="Times New Roman"/>
          <w:kern w:val="0"/>
          <w:szCs w:val="22"/>
          <w14:ligatures w14:val="none"/>
        </w:rPr>
        <w:tab/>
        <w:t>Whilst it does not apply to contractors, consultants, agency workers or any self-employed individuals working for the organisation, this policy does set out parameters to be followed when agreeing pay rates for these workers.</w:t>
      </w:r>
    </w:p>
    <w:p w14:paraId="706B998F" w14:textId="77777777" w:rsidR="008D7145" w:rsidRPr="008D7145" w:rsidRDefault="008D7145" w:rsidP="008D7145">
      <w:pPr>
        <w:keepNext/>
        <w:keepLines/>
        <w:tabs>
          <w:tab w:val="left" w:pos="454"/>
        </w:tabs>
        <w:spacing w:before="240" w:after="120" w:line="240" w:lineRule="auto"/>
        <w:ind w:left="360" w:hanging="360"/>
        <w:outlineLvl w:val="0"/>
        <w:rPr>
          <w:rFonts w:ascii="Arial" w:eastAsia="Times New Roman" w:hAnsi="Arial" w:cs="Times New Roman"/>
          <w:b/>
          <w:color w:val="2E74B5"/>
          <w:kern w:val="0"/>
          <w:sz w:val="26"/>
          <w:szCs w:val="32"/>
          <w14:ligatures w14:val="none"/>
        </w:rPr>
      </w:pPr>
      <w:bookmarkStart w:id="9" w:name="_Toc194317629"/>
      <w:bookmarkStart w:id="10" w:name="_Toc165991836"/>
      <w:bookmarkStart w:id="11" w:name="_Toc167803806"/>
      <w:bookmarkEnd w:id="7"/>
      <w:bookmarkEnd w:id="8"/>
      <w:r w:rsidRPr="008D7145">
        <w:rPr>
          <w:rFonts w:ascii="Arial" w:eastAsia="Times New Roman" w:hAnsi="Arial" w:cs="Times New Roman"/>
          <w:b/>
          <w:color w:val="2E74B5"/>
          <w:kern w:val="0"/>
          <w:sz w:val="26"/>
          <w:szCs w:val="32"/>
          <w14:ligatures w14:val="none"/>
        </w:rPr>
        <w:t>The Pay Structure</w:t>
      </w:r>
      <w:bookmarkEnd w:id="9"/>
    </w:p>
    <w:p w14:paraId="6AEF082B" w14:textId="77777777" w:rsidR="008D7145" w:rsidRPr="008D7145" w:rsidRDefault="008D7145" w:rsidP="008D7145">
      <w:pPr>
        <w:spacing w:after="240" w:line="240" w:lineRule="auto"/>
        <w:ind w:left="851" w:hanging="851"/>
        <w:rPr>
          <w:rFonts w:ascii="Arial" w:eastAsia="Calibri" w:hAnsi="Arial" w:cs="Times New Roman"/>
          <w:kern w:val="0"/>
          <w:szCs w:val="22"/>
          <w:lang w:eastAsia="en-GB"/>
          <w14:ligatures w14:val="none"/>
        </w:rPr>
      </w:pPr>
      <w:r w:rsidRPr="008D7145">
        <w:rPr>
          <w:rFonts w:ascii="Arial" w:eastAsia="Calibri" w:hAnsi="Arial" w:cs="Times New Roman"/>
          <w:kern w:val="0"/>
          <w:szCs w:val="22"/>
          <w:lang w:eastAsia="en-GB"/>
          <w14:ligatures w14:val="none"/>
        </w:rPr>
        <w:t>3.1</w:t>
      </w:r>
      <w:r w:rsidRPr="008D7145">
        <w:rPr>
          <w:rFonts w:ascii="Arial" w:eastAsia="Calibri" w:hAnsi="Arial" w:cs="Times New Roman"/>
          <w:kern w:val="0"/>
          <w:szCs w:val="22"/>
          <w14:ligatures w14:val="none"/>
        </w:rPr>
        <w:tab/>
      </w:r>
      <w:r w:rsidRPr="008D7145">
        <w:rPr>
          <w:rFonts w:ascii="Arial" w:eastAsia="Calibri" w:hAnsi="Arial" w:cs="Times New Roman"/>
          <w:kern w:val="0"/>
          <w:szCs w:val="22"/>
          <w:lang w:eastAsia="en-GB"/>
          <w14:ligatures w14:val="none"/>
        </w:rPr>
        <w:t xml:space="preserve">The Council follows the NJC job evaluation scheme for officers at grades 3 to 11 and currently uses an external job evaluation scheme for roles above grade 11. </w:t>
      </w:r>
    </w:p>
    <w:p w14:paraId="6F195853" w14:textId="77777777" w:rsidR="008D7145" w:rsidRPr="008D7145" w:rsidRDefault="008D7145" w:rsidP="008D7145">
      <w:pPr>
        <w:spacing w:after="240" w:line="240" w:lineRule="auto"/>
        <w:ind w:left="851" w:hanging="851"/>
        <w:rPr>
          <w:rFonts w:ascii="Arial" w:eastAsia="Calibri" w:hAnsi="Arial" w:cs="Times New Roman"/>
          <w:kern w:val="0"/>
          <w:szCs w:val="22"/>
          <w:lang w:eastAsia="en-GB"/>
          <w14:ligatures w14:val="none"/>
        </w:rPr>
      </w:pPr>
      <w:r w:rsidRPr="008D7145">
        <w:rPr>
          <w:rFonts w:ascii="Arial" w:eastAsia="Calibri" w:hAnsi="Arial" w:cs="Times New Roman"/>
          <w:kern w:val="0"/>
          <w:szCs w:val="22"/>
          <w:lang w:eastAsia="en-GB"/>
          <w14:ligatures w14:val="none"/>
        </w:rPr>
        <w:t>3.2</w:t>
      </w:r>
      <w:r w:rsidRPr="008D7145">
        <w:rPr>
          <w:rFonts w:ascii="Arial" w:eastAsia="Calibri" w:hAnsi="Arial" w:cs="Times New Roman"/>
          <w:kern w:val="0"/>
          <w:szCs w:val="22"/>
          <w14:ligatures w14:val="none"/>
        </w:rPr>
        <w:tab/>
      </w:r>
      <w:r w:rsidRPr="008D7145">
        <w:rPr>
          <w:rFonts w:ascii="Arial" w:eastAsia="Calibri" w:hAnsi="Arial" w:cs="Times New Roman"/>
          <w:kern w:val="0"/>
          <w:szCs w:val="22"/>
          <w:lang w:eastAsia="en-GB"/>
          <w14:ligatures w14:val="none"/>
        </w:rPr>
        <w:t xml:space="preserve">Grades 3 to 11 have two pay points, known as ‘scale points’ or ‘spinal column points’ (SCP), which are set out in the Pay Policy Statement each year. </w:t>
      </w:r>
    </w:p>
    <w:p w14:paraId="3A5E47FC"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lang w:eastAsia="en-GB"/>
          <w14:ligatures w14:val="none"/>
        </w:rPr>
        <w:lastRenderedPageBreak/>
        <w:t>3.3</w:t>
      </w:r>
      <w:r w:rsidRPr="008D7145">
        <w:rPr>
          <w:rFonts w:ascii="Arial" w:eastAsia="Calibri" w:hAnsi="Arial" w:cs="Times New Roman"/>
          <w:kern w:val="0"/>
          <w:szCs w:val="22"/>
          <w:lang w:eastAsia="en-GB"/>
          <w14:ligatures w14:val="none"/>
        </w:rPr>
        <w:tab/>
        <w:t>Pay awards to uplift pay points in the pay structure are agreed through local collective pay bargaining with the two recognised trade unions: Unison and Unite.</w:t>
      </w:r>
    </w:p>
    <w:p w14:paraId="4DFC74AC" w14:textId="77777777" w:rsidR="008D7145" w:rsidRPr="008D7145" w:rsidRDefault="008D7145" w:rsidP="008D7145">
      <w:pPr>
        <w:keepNext/>
        <w:keepLines/>
        <w:spacing w:before="240" w:after="120" w:line="240" w:lineRule="auto"/>
        <w:ind w:left="1588" w:hanging="737"/>
        <w:outlineLvl w:val="1"/>
        <w:rPr>
          <w:rFonts w:ascii="Arial" w:eastAsia="Times New Roman" w:hAnsi="Arial" w:cs="Times New Roman"/>
          <w:color w:val="2E74B5"/>
          <w:kern w:val="0"/>
          <w:szCs w:val="26"/>
          <w14:ligatures w14:val="none"/>
        </w:rPr>
      </w:pPr>
      <w:bookmarkStart w:id="12" w:name="_Toc188351285"/>
      <w:r w:rsidRPr="008D7145">
        <w:rPr>
          <w:rFonts w:ascii="Arial" w:eastAsia="Times New Roman" w:hAnsi="Arial" w:cs="Times New Roman"/>
          <w:color w:val="2E74B5"/>
          <w:kern w:val="0"/>
          <w:szCs w:val="26"/>
          <w14:ligatures w14:val="none"/>
        </w:rPr>
        <w:t>Recruitment into a post</w:t>
      </w:r>
      <w:bookmarkEnd w:id="12"/>
    </w:p>
    <w:p w14:paraId="6914DA6D"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3.3</w:t>
      </w:r>
      <w:r w:rsidRPr="008D7145">
        <w:rPr>
          <w:rFonts w:ascii="Arial" w:eastAsia="Calibri" w:hAnsi="Arial" w:cs="Times New Roman"/>
          <w:kern w:val="0"/>
          <w:szCs w:val="22"/>
          <w14:ligatures w14:val="none"/>
        </w:rPr>
        <w:tab/>
        <w:t>All new offers of employment or internal promotions will be at the lower scale point of a grade.</w:t>
      </w:r>
    </w:p>
    <w:p w14:paraId="600C6FAC"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3.4</w:t>
      </w:r>
      <w:r w:rsidRPr="008D7145">
        <w:rPr>
          <w:rFonts w:ascii="Arial" w:eastAsia="Calibri" w:hAnsi="Arial" w:cs="Times New Roman"/>
          <w:kern w:val="0"/>
          <w:szCs w:val="22"/>
          <w14:ligatures w14:val="none"/>
        </w:rPr>
        <w:tab/>
        <w:t>A recruiting manager can request to apply discretion to pay the upper scale point to a successful candidate if there is a justified reason for doing so. When applying this discretion, the manager must consider the pay of other team members to ensure fairness. An example of where it may be justified to pay the upper scale point is when a role is difficult-to-</w:t>
      </w:r>
      <w:proofErr w:type="gramStart"/>
      <w:r w:rsidRPr="008D7145">
        <w:rPr>
          <w:rFonts w:ascii="Arial" w:eastAsia="Calibri" w:hAnsi="Arial" w:cs="Times New Roman"/>
          <w:kern w:val="0"/>
          <w:szCs w:val="22"/>
          <w14:ligatures w14:val="none"/>
        </w:rPr>
        <w:t>recruit</w:t>
      </w:r>
      <w:proofErr w:type="gramEnd"/>
      <w:r w:rsidRPr="008D7145">
        <w:rPr>
          <w:rFonts w:ascii="Arial" w:eastAsia="Calibri" w:hAnsi="Arial" w:cs="Times New Roman"/>
          <w:kern w:val="0"/>
          <w:szCs w:val="22"/>
          <w14:ligatures w14:val="none"/>
        </w:rPr>
        <w:t xml:space="preserve"> and a higher starting salary will support attraction. Payment at the upper scale point requires approval from the Head of People. </w:t>
      </w:r>
    </w:p>
    <w:p w14:paraId="5824FEC9"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3.6</w:t>
      </w:r>
      <w:r w:rsidRPr="008D7145">
        <w:rPr>
          <w:rFonts w:ascii="Arial" w:eastAsia="Calibri" w:hAnsi="Arial" w:cs="Times New Roman"/>
          <w:kern w:val="0"/>
          <w:szCs w:val="22"/>
          <w14:ligatures w14:val="none"/>
        </w:rPr>
        <w:tab/>
        <w:t xml:space="preserve">New employees at the grade minimum will progress to the higher scale point of the grade on successful completion of their probationary period, providing they are not being managed through an informal or formal performance improvement process. </w:t>
      </w:r>
    </w:p>
    <w:p w14:paraId="1E4F550A"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 xml:space="preserve">3.7 </w:t>
      </w:r>
      <w:r w:rsidRPr="008D7145">
        <w:rPr>
          <w:rFonts w:ascii="Arial" w:eastAsia="Calibri" w:hAnsi="Arial" w:cs="Times New Roman"/>
          <w:kern w:val="0"/>
          <w:szCs w:val="22"/>
          <w14:ligatures w14:val="none"/>
        </w:rPr>
        <w:tab/>
        <w:t xml:space="preserve">Employees who are promoted internally will progress to the higher scale point of the grade on successful completion of 6 months in the new role providing they are not being managed through an informal or formal performance improvement process. </w:t>
      </w:r>
    </w:p>
    <w:p w14:paraId="647E2950" w14:textId="77777777" w:rsidR="008D7145" w:rsidRPr="008D7145" w:rsidRDefault="008D7145" w:rsidP="008D7145">
      <w:pPr>
        <w:keepNext/>
        <w:keepLines/>
        <w:tabs>
          <w:tab w:val="left" w:pos="454"/>
        </w:tabs>
        <w:spacing w:before="240" w:after="120" w:line="240" w:lineRule="auto"/>
        <w:ind w:left="360" w:hanging="360"/>
        <w:outlineLvl w:val="0"/>
        <w:rPr>
          <w:rFonts w:ascii="Arial" w:eastAsia="Times New Roman" w:hAnsi="Arial" w:cs="Times New Roman"/>
          <w:b/>
          <w:color w:val="2E74B5"/>
          <w:kern w:val="0"/>
          <w:sz w:val="26"/>
          <w:szCs w:val="32"/>
          <w14:ligatures w14:val="none"/>
        </w:rPr>
      </w:pPr>
      <w:bookmarkStart w:id="13" w:name="_Toc165991833"/>
      <w:bookmarkStart w:id="14" w:name="_Toc167803802"/>
      <w:bookmarkStart w:id="15" w:name="_Toc188351292"/>
      <w:bookmarkStart w:id="16" w:name="_Toc194317630"/>
      <w:r w:rsidRPr="008D7145">
        <w:rPr>
          <w:rFonts w:ascii="Arial" w:eastAsia="Times New Roman" w:hAnsi="Arial" w:cs="Times New Roman"/>
          <w:b/>
          <w:color w:val="2E74B5"/>
          <w:kern w:val="0"/>
          <w:sz w:val="26"/>
          <w:szCs w:val="32"/>
          <w14:ligatures w14:val="none"/>
        </w:rPr>
        <w:t>Career development</w:t>
      </w:r>
      <w:bookmarkEnd w:id="13"/>
      <w:bookmarkEnd w:id="14"/>
      <w:r w:rsidRPr="008D7145">
        <w:rPr>
          <w:rFonts w:ascii="Arial" w:eastAsia="Times New Roman" w:hAnsi="Arial" w:cs="Times New Roman"/>
          <w:b/>
          <w:color w:val="2E74B5"/>
          <w:kern w:val="0"/>
          <w:sz w:val="26"/>
          <w:szCs w:val="32"/>
          <w14:ligatures w14:val="none"/>
        </w:rPr>
        <w:t xml:space="preserve"> scheme</w:t>
      </w:r>
      <w:bookmarkEnd w:id="15"/>
      <w:r w:rsidRPr="008D7145">
        <w:rPr>
          <w:rFonts w:ascii="Arial" w:eastAsia="Times New Roman" w:hAnsi="Arial" w:cs="Times New Roman"/>
          <w:b/>
          <w:color w:val="2E74B5"/>
          <w:kern w:val="0"/>
          <w:sz w:val="26"/>
          <w:szCs w:val="32"/>
          <w14:ligatures w14:val="none"/>
        </w:rPr>
        <w:t>s</w:t>
      </w:r>
      <w:bookmarkEnd w:id="16"/>
    </w:p>
    <w:p w14:paraId="5703C33E" w14:textId="77777777" w:rsidR="008D7145" w:rsidRPr="008D7145" w:rsidRDefault="008D7145" w:rsidP="008D7145">
      <w:pPr>
        <w:keepNext/>
        <w:keepLines/>
        <w:spacing w:before="240" w:after="120" w:line="240" w:lineRule="auto"/>
        <w:ind w:left="1588" w:hanging="737"/>
        <w:outlineLvl w:val="1"/>
        <w:rPr>
          <w:rFonts w:ascii="Arial" w:eastAsia="Times New Roman" w:hAnsi="Arial" w:cs="Times New Roman"/>
          <w:color w:val="2E74B5"/>
          <w:kern w:val="0"/>
          <w:szCs w:val="26"/>
          <w14:ligatures w14:val="none"/>
        </w:rPr>
      </w:pPr>
      <w:bookmarkStart w:id="17" w:name="_Toc188351293"/>
      <w:bookmarkStart w:id="18" w:name="_Toc194317631"/>
      <w:r w:rsidRPr="008D7145">
        <w:rPr>
          <w:rFonts w:ascii="Arial" w:eastAsia="Times New Roman" w:hAnsi="Arial" w:cs="Times New Roman"/>
          <w:color w:val="2E74B5"/>
          <w:kern w:val="0"/>
          <w:szCs w:val="26"/>
          <w14:ligatures w14:val="none"/>
        </w:rPr>
        <w:t>What is a career development scheme?</w:t>
      </w:r>
      <w:bookmarkEnd w:id="17"/>
      <w:bookmarkEnd w:id="18"/>
    </w:p>
    <w:p w14:paraId="466611EA"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4.1</w:t>
      </w:r>
      <w:r w:rsidRPr="008D7145">
        <w:rPr>
          <w:rFonts w:ascii="Arial" w:eastAsia="Calibri" w:hAnsi="Arial" w:cs="Times New Roman"/>
          <w:kern w:val="0"/>
          <w:szCs w:val="22"/>
          <w14:ligatures w14:val="none"/>
        </w:rPr>
        <w:tab/>
        <w:t>Some services offer career development opportunities allowing people to learn as part of a staged progression plan. This might apply when:</w:t>
      </w:r>
    </w:p>
    <w:p w14:paraId="54CA2987" w14:textId="77777777" w:rsidR="008D7145" w:rsidRPr="008D7145" w:rsidRDefault="008D7145" w:rsidP="008D7145">
      <w:pPr>
        <w:numPr>
          <w:ilvl w:val="0"/>
          <w:numId w:val="2"/>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It is not possible to recruit people with the right experience, skills or knowledge and so the Council develops its talent internally</w:t>
      </w:r>
    </w:p>
    <w:p w14:paraId="6AA812FB" w14:textId="77777777" w:rsidR="008D7145" w:rsidRPr="008D7145" w:rsidRDefault="008D7145" w:rsidP="008D7145">
      <w:pPr>
        <w:numPr>
          <w:ilvl w:val="0"/>
          <w:numId w:val="2"/>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An individual does not currently meet all the essential criteria of the role but has the potential to develop in role and achieve the required standards</w:t>
      </w:r>
    </w:p>
    <w:p w14:paraId="4CED1973"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4.2</w:t>
      </w:r>
      <w:r w:rsidRPr="008D7145">
        <w:rPr>
          <w:rFonts w:ascii="Arial" w:eastAsia="Calibri" w:hAnsi="Arial" w:cs="Times New Roman"/>
          <w:kern w:val="0"/>
          <w:szCs w:val="22"/>
          <w14:ligatures w14:val="none"/>
        </w:rPr>
        <w:tab/>
        <w:t>In these circumstances employees will normally be appointed one grade lower than the grade for the role. After the successful completion of a development plan, the individual will move to the standard grade for the role provided they have reached the required performance standard. Pay progression to the maximum of the scale may vary depending on the plan in place.</w:t>
      </w:r>
    </w:p>
    <w:p w14:paraId="3EF62AB1" w14:textId="77777777" w:rsidR="008D7145" w:rsidRPr="008D7145" w:rsidRDefault="008D7145" w:rsidP="008D7145">
      <w:pPr>
        <w:keepNext/>
        <w:keepLines/>
        <w:spacing w:before="240" w:after="120" w:line="240" w:lineRule="auto"/>
        <w:ind w:left="1588" w:hanging="737"/>
        <w:outlineLvl w:val="1"/>
        <w:rPr>
          <w:rFonts w:ascii="Arial" w:eastAsia="Times New Roman" w:hAnsi="Arial" w:cs="Times New Roman"/>
          <w:color w:val="2E74B5"/>
          <w:kern w:val="0"/>
          <w:szCs w:val="26"/>
          <w14:ligatures w14:val="none"/>
        </w:rPr>
      </w:pPr>
      <w:bookmarkStart w:id="19" w:name="_Toc188351294"/>
      <w:bookmarkStart w:id="20" w:name="_Toc194317632"/>
      <w:r w:rsidRPr="008D7145">
        <w:rPr>
          <w:rFonts w:ascii="Arial" w:eastAsia="Times New Roman" w:hAnsi="Arial" w:cs="Times New Roman"/>
          <w:color w:val="2E74B5"/>
          <w:kern w:val="0"/>
          <w:szCs w:val="26"/>
          <w14:ligatures w14:val="none"/>
        </w:rPr>
        <w:t>How is it applied?</w:t>
      </w:r>
      <w:bookmarkEnd w:id="19"/>
      <w:bookmarkEnd w:id="20"/>
    </w:p>
    <w:p w14:paraId="04D0A0F2"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4.3</w:t>
      </w:r>
      <w:r w:rsidRPr="008D7145">
        <w:rPr>
          <w:rFonts w:ascii="Arial" w:eastAsia="Calibri" w:hAnsi="Arial" w:cs="Times New Roman"/>
          <w:kern w:val="0"/>
          <w:szCs w:val="22"/>
          <w14:ligatures w14:val="none"/>
        </w:rPr>
        <w:tab/>
        <w:t xml:space="preserve">For any roles where a career development opportunity is identified, a job description setting out the career development role must be submitted to the job evaluation panel and a grade confirmed. The manager needs to </w:t>
      </w:r>
      <w:r w:rsidRPr="008D7145">
        <w:rPr>
          <w:rFonts w:ascii="Arial" w:eastAsia="Calibri" w:hAnsi="Arial" w:cs="Times New Roman"/>
          <w:kern w:val="0"/>
          <w:szCs w:val="22"/>
          <w14:ligatures w14:val="none"/>
        </w:rPr>
        <w:lastRenderedPageBreak/>
        <w:t xml:space="preserve">demonstrate clear differences in the role and responsibilities against the ‘standard’ role to justify the difference in pay. </w:t>
      </w:r>
    </w:p>
    <w:p w14:paraId="52BB12D2"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4.4</w:t>
      </w:r>
      <w:r w:rsidRPr="008D7145">
        <w:rPr>
          <w:rFonts w:ascii="Arial" w:eastAsia="Calibri" w:hAnsi="Arial" w:cs="Times New Roman"/>
          <w:kern w:val="0"/>
          <w:szCs w:val="22"/>
          <w14:ligatures w14:val="none"/>
        </w:rPr>
        <w:tab/>
        <w:t>Once the grade is confirmed, the manager can appoint to the position.</w:t>
      </w:r>
    </w:p>
    <w:p w14:paraId="6DCDD0E3"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4.5</w:t>
      </w:r>
      <w:r w:rsidRPr="008D7145">
        <w:rPr>
          <w:rFonts w:ascii="Arial" w:eastAsia="Calibri" w:hAnsi="Arial" w:cs="Times New Roman"/>
          <w:kern w:val="0"/>
          <w:szCs w:val="22"/>
          <w14:ligatures w14:val="none"/>
        </w:rPr>
        <w:tab/>
        <w:t xml:space="preserve">The manager should use the Career Development Plan template to set out the development </w:t>
      </w:r>
      <w:proofErr w:type="gramStart"/>
      <w:r w:rsidRPr="008D7145">
        <w:rPr>
          <w:rFonts w:ascii="Arial" w:eastAsia="Calibri" w:hAnsi="Arial" w:cs="Times New Roman"/>
          <w:kern w:val="0"/>
          <w:szCs w:val="22"/>
          <w14:ligatures w14:val="none"/>
        </w:rPr>
        <w:t>required</w:t>
      </w:r>
      <w:proofErr w:type="gramEnd"/>
      <w:r w:rsidRPr="008D7145">
        <w:rPr>
          <w:rFonts w:ascii="Arial" w:eastAsia="Calibri" w:hAnsi="Arial" w:cs="Times New Roman"/>
          <w:kern w:val="0"/>
          <w:szCs w:val="22"/>
          <w14:ligatures w14:val="none"/>
        </w:rPr>
        <w:t xml:space="preserve"> and level of competence needed to move up to the standard grade for the role.</w:t>
      </w:r>
    </w:p>
    <w:p w14:paraId="0BD38310"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4.6</w:t>
      </w:r>
      <w:r w:rsidRPr="008D7145">
        <w:rPr>
          <w:rFonts w:ascii="Arial" w:eastAsia="Calibri" w:hAnsi="Arial" w:cs="Times New Roman"/>
          <w:kern w:val="0"/>
          <w:szCs w:val="22"/>
          <w14:ligatures w14:val="none"/>
        </w:rPr>
        <w:tab/>
        <w:t>On successful completion of the career development plan, the manager will raise the request to move the individual to the ‘standard’ grade for the role via the People Team Service Desk.</w:t>
      </w:r>
    </w:p>
    <w:p w14:paraId="4C57B42F"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4.7</w:t>
      </w:r>
      <w:r w:rsidRPr="008D7145">
        <w:rPr>
          <w:rFonts w:ascii="Arial" w:eastAsia="Calibri" w:hAnsi="Arial" w:cs="Times New Roman"/>
          <w:kern w:val="0"/>
          <w:szCs w:val="22"/>
          <w14:ligatures w14:val="none"/>
        </w:rPr>
        <w:tab/>
        <w:t xml:space="preserve">If at any point there are concerns about the individual’s performance or capability, the Performance Improvement Procedure should be followed. </w:t>
      </w:r>
    </w:p>
    <w:p w14:paraId="5BA851D4" w14:textId="77777777" w:rsidR="008D7145" w:rsidRPr="008D7145" w:rsidRDefault="008D7145" w:rsidP="008D7145">
      <w:pPr>
        <w:keepNext/>
        <w:keepLines/>
        <w:tabs>
          <w:tab w:val="left" w:pos="454"/>
        </w:tabs>
        <w:spacing w:before="240" w:after="120" w:line="240" w:lineRule="auto"/>
        <w:ind w:left="360" w:hanging="360"/>
        <w:outlineLvl w:val="0"/>
        <w:rPr>
          <w:rFonts w:ascii="Arial" w:eastAsia="Times New Roman" w:hAnsi="Arial" w:cs="Times New Roman"/>
          <w:b/>
          <w:color w:val="2E74B5"/>
          <w:kern w:val="0"/>
          <w:sz w:val="26"/>
          <w:szCs w:val="32"/>
          <w14:ligatures w14:val="none"/>
        </w:rPr>
      </w:pPr>
      <w:bookmarkStart w:id="21" w:name="_Toc167803803"/>
      <w:bookmarkStart w:id="22" w:name="_Toc188351295"/>
      <w:bookmarkStart w:id="23" w:name="_Toc194317633"/>
      <w:r w:rsidRPr="008D7145">
        <w:rPr>
          <w:rFonts w:ascii="Arial" w:eastAsia="Times New Roman" w:hAnsi="Arial" w:cs="Times New Roman"/>
          <w:b/>
          <w:color w:val="2E74B5"/>
          <w:kern w:val="0"/>
          <w:sz w:val="26"/>
          <w:szCs w:val="32"/>
          <w14:ligatures w14:val="none"/>
        </w:rPr>
        <w:t>Honoraria</w:t>
      </w:r>
      <w:bookmarkEnd w:id="21"/>
      <w:bookmarkEnd w:id="22"/>
      <w:bookmarkEnd w:id="23"/>
    </w:p>
    <w:p w14:paraId="63581B4A"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5.1</w:t>
      </w:r>
      <w:r w:rsidRPr="008D7145">
        <w:rPr>
          <w:rFonts w:ascii="Arial" w:eastAsia="Calibri" w:hAnsi="Arial" w:cs="Times New Roman"/>
          <w:kern w:val="0"/>
          <w:szCs w:val="22"/>
          <w14:ligatures w14:val="none"/>
        </w:rPr>
        <w:tab/>
        <w:t>Honoraria payments are additional payments made as a one-off or for a fixed period for undertaking a project or work beyond that expected of the job role.</w:t>
      </w:r>
    </w:p>
    <w:p w14:paraId="461BC797" w14:textId="77777777" w:rsidR="008D7145" w:rsidRPr="008D7145" w:rsidRDefault="008D7145" w:rsidP="008D7145">
      <w:pPr>
        <w:keepNext/>
        <w:keepLines/>
        <w:spacing w:before="240" w:after="120" w:line="240" w:lineRule="auto"/>
        <w:ind w:left="1588" w:hanging="737"/>
        <w:outlineLvl w:val="1"/>
        <w:rPr>
          <w:rFonts w:ascii="Arial" w:eastAsia="Times New Roman" w:hAnsi="Arial" w:cs="Times New Roman"/>
          <w:color w:val="2E74B5"/>
          <w:kern w:val="0"/>
          <w:szCs w:val="26"/>
          <w14:ligatures w14:val="none"/>
        </w:rPr>
      </w:pPr>
      <w:bookmarkStart w:id="24" w:name="_Toc188351296"/>
      <w:bookmarkStart w:id="25" w:name="_Toc194317634"/>
      <w:r w:rsidRPr="008D7145">
        <w:rPr>
          <w:rFonts w:ascii="Arial" w:eastAsia="Times New Roman" w:hAnsi="Arial" w:cs="Times New Roman"/>
          <w:color w:val="2E74B5"/>
          <w:kern w:val="0"/>
          <w:szCs w:val="26"/>
          <w14:ligatures w14:val="none"/>
        </w:rPr>
        <w:t xml:space="preserve">Honorarium for additional duties over a fixed </w:t>
      </w:r>
      <w:bookmarkEnd w:id="24"/>
      <w:r w:rsidRPr="008D7145">
        <w:rPr>
          <w:rFonts w:ascii="Arial" w:eastAsia="Times New Roman" w:hAnsi="Arial" w:cs="Times New Roman"/>
          <w:color w:val="2E74B5"/>
          <w:kern w:val="0"/>
          <w:szCs w:val="26"/>
          <w14:ligatures w14:val="none"/>
        </w:rPr>
        <w:t>period</w:t>
      </w:r>
      <w:bookmarkEnd w:id="25"/>
    </w:p>
    <w:p w14:paraId="32C4C04D"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5.2</w:t>
      </w:r>
      <w:r w:rsidRPr="008D7145">
        <w:rPr>
          <w:rFonts w:ascii="Arial" w:eastAsia="Calibri" w:hAnsi="Arial" w:cs="Times New Roman"/>
          <w:kern w:val="0"/>
          <w:szCs w:val="22"/>
          <w14:ligatures w14:val="none"/>
        </w:rPr>
        <w:tab/>
        <w:t>Payment of a fixed-period honorarium payment will be considered where:</w:t>
      </w:r>
    </w:p>
    <w:p w14:paraId="411218A6" w14:textId="77777777" w:rsidR="008D7145" w:rsidRPr="008D7145" w:rsidRDefault="008D7145" w:rsidP="008D7145">
      <w:pPr>
        <w:numPr>
          <w:ilvl w:val="0"/>
          <w:numId w:val="3"/>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Someone is taking on additional responsibilities or duties that are outside the normal remit of their role, but the work does not cover the full duties of a higher-graded post.</w:t>
      </w:r>
    </w:p>
    <w:p w14:paraId="6E486780" w14:textId="77777777" w:rsidR="008D7145" w:rsidRPr="008D7145" w:rsidRDefault="008D7145" w:rsidP="008D7145">
      <w:pPr>
        <w:numPr>
          <w:ilvl w:val="0"/>
          <w:numId w:val="3"/>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Someone is taking on particularly onerous duties in addition to those normally carried out in their role.</w:t>
      </w:r>
    </w:p>
    <w:p w14:paraId="6AB7997A" w14:textId="77777777" w:rsidR="008D7145" w:rsidRPr="008D7145" w:rsidRDefault="008D7145" w:rsidP="008D7145">
      <w:pPr>
        <w:keepNext/>
        <w:keepLines/>
        <w:spacing w:before="240" w:after="120" w:line="240" w:lineRule="auto"/>
        <w:ind w:left="1588" w:hanging="737"/>
        <w:outlineLvl w:val="1"/>
        <w:rPr>
          <w:rFonts w:ascii="Arial" w:eastAsia="Times New Roman" w:hAnsi="Arial" w:cs="Times New Roman"/>
          <w:color w:val="2E74B5"/>
          <w:kern w:val="0"/>
          <w:szCs w:val="26"/>
          <w14:ligatures w14:val="none"/>
        </w:rPr>
      </w:pPr>
      <w:bookmarkStart w:id="26" w:name="_Toc188351297"/>
      <w:bookmarkStart w:id="27" w:name="_Toc194317635"/>
      <w:r w:rsidRPr="008D7145">
        <w:rPr>
          <w:rFonts w:ascii="Arial" w:eastAsia="Times New Roman" w:hAnsi="Arial" w:cs="Times New Roman"/>
          <w:color w:val="2E74B5"/>
          <w:kern w:val="0"/>
          <w:szCs w:val="26"/>
          <w14:ligatures w14:val="none"/>
        </w:rPr>
        <w:t>Honorarium as a one-off payment</w:t>
      </w:r>
      <w:bookmarkEnd w:id="26"/>
      <w:bookmarkEnd w:id="27"/>
    </w:p>
    <w:p w14:paraId="2087C074"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5.3</w:t>
      </w:r>
      <w:r w:rsidRPr="008D7145">
        <w:rPr>
          <w:rFonts w:ascii="Arial" w:eastAsia="Calibri" w:hAnsi="Arial" w:cs="Times New Roman"/>
          <w:kern w:val="0"/>
          <w:szCs w:val="22"/>
          <w14:ligatures w14:val="none"/>
        </w:rPr>
        <w:tab/>
        <w:t>Payment of a one-off retrospective honorarium payment may be considered where the duties performed have resulted in a clear benefit to the Council, which would not have been achieved without the actions of the employee and those actions are not within the normal remit of their role.</w:t>
      </w:r>
    </w:p>
    <w:p w14:paraId="12EEE188"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5.4</w:t>
      </w:r>
      <w:r w:rsidRPr="008D7145">
        <w:rPr>
          <w:rFonts w:ascii="Arial" w:eastAsia="Calibri" w:hAnsi="Arial" w:cs="Times New Roman"/>
          <w:kern w:val="0"/>
          <w:szCs w:val="22"/>
          <w14:ligatures w14:val="none"/>
        </w:rPr>
        <w:tab/>
        <w:t xml:space="preserve">Managers can apply discretion when determining how much should be paid, but they should consider the level of work completed, the amount of additional work completed and the additional time on top of normal working hours. </w:t>
      </w:r>
    </w:p>
    <w:p w14:paraId="714EEB81"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5.5</w:t>
      </w:r>
      <w:r w:rsidRPr="008D7145">
        <w:rPr>
          <w:rFonts w:ascii="Arial" w:eastAsia="Calibri" w:hAnsi="Arial" w:cs="Times New Roman"/>
          <w:kern w:val="0"/>
          <w:szCs w:val="22"/>
          <w14:ligatures w14:val="none"/>
        </w:rPr>
        <w:tab/>
        <w:t>To request an honorarium payment, line managers must raise a contract change request via the People Team Service Desk, after first obtaining the approval of the Head of People or People Operations Manager, Service Director and Finance Accountant.</w:t>
      </w:r>
    </w:p>
    <w:p w14:paraId="7BADB08A" w14:textId="77777777" w:rsidR="008D7145" w:rsidRPr="008D7145" w:rsidRDefault="008D7145" w:rsidP="008D7145">
      <w:pPr>
        <w:keepNext/>
        <w:keepLines/>
        <w:tabs>
          <w:tab w:val="left" w:pos="454"/>
        </w:tabs>
        <w:spacing w:before="240" w:after="120" w:line="240" w:lineRule="auto"/>
        <w:ind w:left="360" w:hanging="360"/>
        <w:outlineLvl w:val="0"/>
        <w:rPr>
          <w:rFonts w:ascii="Arial" w:eastAsia="Times New Roman" w:hAnsi="Arial" w:cs="Times New Roman"/>
          <w:b/>
          <w:color w:val="2E74B5"/>
          <w:kern w:val="0"/>
          <w:sz w:val="26"/>
          <w:szCs w:val="32"/>
          <w14:ligatures w14:val="none"/>
        </w:rPr>
      </w:pPr>
      <w:bookmarkStart w:id="28" w:name="_Toc167803804"/>
      <w:bookmarkStart w:id="29" w:name="_Toc188351298"/>
      <w:bookmarkStart w:id="30" w:name="_Toc194317636"/>
      <w:r w:rsidRPr="008D7145">
        <w:rPr>
          <w:rFonts w:ascii="Arial" w:eastAsia="Times New Roman" w:hAnsi="Arial" w:cs="Times New Roman"/>
          <w:b/>
          <w:color w:val="2E74B5"/>
          <w:kern w:val="0"/>
          <w:sz w:val="26"/>
          <w:szCs w:val="32"/>
          <w14:ligatures w14:val="none"/>
        </w:rPr>
        <w:t>Acting up allowances</w:t>
      </w:r>
      <w:bookmarkEnd w:id="28"/>
      <w:bookmarkEnd w:id="29"/>
      <w:bookmarkEnd w:id="30"/>
    </w:p>
    <w:p w14:paraId="515AA7ED"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6.1</w:t>
      </w:r>
      <w:r w:rsidRPr="008D7145">
        <w:rPr>
          <w:rFonts w:ascii="Arial" w:eastAsia="Calibri" w:hAnsi="Arial" w:cs="Times New Roman"/>
          <w:kern w:val="0"/>
          <w:szCs w:val="22"/>
          <w14:ligatures w14:val="none"/>
        </w:rPr>
        <w:tab/>
        <w:t>Acting up allowances can be awarded to employees who undertake all or part of a higher-graded role for a fixed period.</w:t>
      </w:r>
    </w:p>
    <w:p w14:paraId="1DE90A70"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lastRenderedPageBreak/>
        <w:t>6.2</w:t>
      </w:r>
      <w:r w:rsidRPr="008D7145">
        <w:rPr>
          <w:rFonts w:ascii="Arial" w:eastAsia="Calibri" w:hAnsi="Arial" w:cs="Times New Roman"/>
          <w:kern w:val="0"/>
          <w:szCs w:val="22"/>
          <w14:ligatures w14:val="none"/>
        </w:rPr>
        <w:tab/>
        <w:t>It might be appropriate to pay an acting up allowance if:</w:t>
      </w:r>
    </w:p>
    <w:p w14:paraId="10422E47" w14:textId="77777777" w:rsidR="008D7145" w:rsidRPr="008D7145" w:rsidRDefault="008D7145" w:rsidP="008D7145">
      <w:pPr>
        <w:numPr>
          <w:ilvl w:val="0"/>
          <w:numId w:val="4"/>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 xml:space="preserve">There is a vacant, funded post within the structure with a current job description for an employee to ‘act up’ into </w:t>
      </w:r>
    </w:p>
    <w:p w14:paraId="55F60720" w14:textId="77777777" w:rsidR="008D7145" w:rsidRPr="008D7145" w:rsidRDefault="008D7145" w:rsidP="008D7145">
      <w:pPr>
        <w:numPr>
          <w:ilvl w:val="0"/>
          <w:numId w:val="4"/>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The period for which the employee will be acting up is at least four weeks in duration</w:t>
      </w:r>
    </w:p>
    <w:p w14:paraId="5A7C2C57" w14:textId="77777777" w:rsidR="008D7145" w:rsidRPr="008D7145" w:rsidRDefault="008D7145" w:rsidP="008D7145">
      <w:pPr>
        <w:numPr>
          <w:ilvl w:val="0"/>
          <w:numId w:val="4"/>
        </w:numPr>
        <w:spacing w:after="240" w:line="240" w:lineRule="auto"/>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The acting up allowance is not being paid for the purposes of covering annual leave</w:t>
      </w:r>
    </w:p>
    <w:p w14:paraId="68BDFE03"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6.3</w:t>
      </w:r>
      <w:r w:rsidRPr="008D7145">
        <w:rPr>
          <w:rFonts w:ascii="Arial" w:eastAsia="Calibri" w:hAnsi="Arial" w:cs="Times New Roman"/>
          <w:kern w:val="0"/>
          <w:szCs w:val="22"/>
          <w14:ligatures w14:val="none"/>
        </w:rPr>
        <w:tab/>
        <w:t xml:space="preserve">Where an acting up allowance is </w:t>
      </w:r>
      <w:proofErr w:type="gramStart"/>
      <w:r w:rsidRPr="008D7145">
        <w:rPr>
          <w:rFonts w:ascii="Arial" w:eastAsia="Calibri" w:hAnsi="Arial" w:cs="Times New Roman"/>
          <w:kern w:val="0"/>
          <w:szCs w:val="22"/>
          <w14:ligatures w14:val="none"/>
        </w:rPr>
        <w:t>paid,</w:t>
      </w:r>
      <w:proofErr w:type="gramEnd"/>
      <w:r w:rsidRPr="008D7145">
        <w:rPr>
          <w:rFonts w:ascii="Arial" w:eastAsia="Calibri" w:hAnsi="Arial" w:cs="Times New Roman"/>
          <w:kern w:val="0"/>
          <w:szCs w:val="22"/>
          <w14:ligatures w14:val="none"/>
        </w:rPr>
        <w:t xml:space="preserve"> the employee will be expected to carry out the specified duties and responsibilities of the higher-graded job.</w:t>
      </w:r>
    </w:p>
    <w:p w14:paraId="5BC6B552"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6.4</w:t>
      </w:r>
      <w:r w:rsidRPr="008D7145">
        <w:rPr>
          <w:rFonts w:ascii="Arial" w:eastAsia="Calibri" w:hAnsi="Arial" w:cs="Times New Roman"/>
          <w:kern w:val="0"/>
          <w:szCs w:val="22"/>
          <w14:ligatures w14:val="none"/>
        </w:rPr>
        <w:tab/>
        <w:t xml:space="preserve">All pay and annual leave, overtime and any other premium payment must be paid at the acting up rate. </w:t>
      </w:r>
    </w:p>
    <w:p w14:paraId="7126EAC5"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6.5</w:t>
      </w:r>
      <w:r w:rsidRPr="008D7145">
        <w:rPr>
          <w:rFonts w:ascii="Arial" w:eastAsia="Calibri" w:hAnsi="Arial" w:cs="Times New Roman"/>
          <w:kern w:val="0"/>
          <w:szCs w:val="22"/>
          <w14:ligatures w14:val="none"/>
        </w:rPr>
        <w:tab/>
        <w:t>All other terms and conditions which apply to the employee’s substantive post remain unaffected.</w:t>
      </w:r>
    </w:p>
    <w:p w14:paraId="7D097B8D"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6.6</w:t>
      </w:r>
      <w:r w:rsidRPr="008D7145">
        <w:rPr>
          <w:rFonts w:ascii="Arial" w:eastAsia="Calibri" w:hAnsi="Arial" w:cs="Times New Roman"/>
          <w:kern w:val="0"/>
          <w:szCs w:val="22"/>
          <w14:ligatures w14:val="none"/>
        </w:rPr>
        <w:tab/>
        <w:t xml:space="preserve">Where employees are spending part of their time in their substantive post and part of their time in an acting up post, any acting up allowance would be calculated based on the percentage of time spent acting up. </w:t>
      </w:r>
    </w:p>
    <w:p w14:paraId="6FD5D751"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6.7</w:t>
      </w:r>
      <w:r w:rsidRPr="008D7145">
        <w:rPr>
          <w:rFonts w:ascii="Arial" w:eastAsia="Calibri" w:hAnsi="Arial" w:cs="Times New Roman"/>
          <w:kern w:val="0"/>
          <w:szCs w:val="22"/>
          <w14:ligatures w14:val="none"/>
        </w:rPr>
        <w:tab/>
        <w:t>Employees who are in receipt of an acting up allowance do not have an automatic right to be formally offered the higher-graded role at any stage.</w:t>
      </w:r>
    </w:p>
    <w:p w14:paraId="79B22B71"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6.8</w:t>
      </w:r>
      <w:r w:rsidRPr="008D7145">
        <w:rPr>
          <w:rFonts w:ascii="Arial" w:eastAsia="Calibri" w:hAnsi="Arial" w:cs="Times New Roman"/>
          <w:kern w:val="0"/>
          <w:szCs w:val="22"/>
          <w14:ligatures w14:val="none"/>
        </w:rPr>
        <w:tab/>
        <w:t>Acting up allowances can be paid for up to 12 months. A new request must be submitted for an extension.</w:t>
      </w:r>
    </w:p>
    <w:p w14:paraId="43399958"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6.9</w:t>
      </w:r>
      <w:r w:rsidRPr="008D7145">
        <w:rPr>
          <w:rFonts w:ascii="Arial" w:eastAsia="Calibri" w:hAnsi="Arial" w:cs="Times New Roman"/>
          <w:kern w:val="0"/>
          <w:szCs w:val="22"/>
          <w14:ligatures w14:val="none"/>
        </w:rPr>
        <w:tab/>
        <w:t>To request an acting up allowance, line managers must raise a contract change request via the People Team Service Desk, after obtaining the approval of the Head of People or the People Operations Manager, and then the Service Director and Finance Accountant through the service desk platform.</w:t>
      </w:r>
    </w:p>
    <w:p w14:paraId="13BC9239" w14:textId="77777777" w:rsidR="008D7145" w:rsidRPr="008D7145" w:rsidRDefault="008D7145" w:rsidP="008D7145">
      <w:pPr>
        <w:keepNext/>
        <w:keepLines/>
        <w:tabs>
          <w:tab w:val="left" w:pos="454"/>
        </w:tabs>
        <w:spacing w:before="240" w:after="120" w:line="240" w:lineRule="auto"/>
        <w:ind w:left="360" w:hanging="360"/>
        <w:outlineLvl w:val="0"/>
        <w:rPr>
          <w:rFonts w:ascii="Arial" w:eastAsia="Times New Roman" w:hAnsi="Arial" w:cs="Times New Roman"/>
          <w:b/>
          <w:color w:val="2E74B5"/>
          <w:kern w:val="0"/>
          <w:sz w:val="26"/>
          <w:szCs w:val="32"/>
          <w14:ligatures w14:val="none"/>
        </w:rPr>
      </w:pPr>
      <w:bookmarkStart w:id="31" w:name="_Toc194317637"/>
      <w:r w:rsidRPr="008D7145">
        <w:rPr>
          <w:rFonts w:ascii="Arial" w:eastAsia="Times New Roman" w:hAnsi="Arial" w:cs="Times New Roman"/>
          <w:b/>
          <w:color w:val="2E74B5"/>
          <w:kern w:val="0"/>
          <w:sz w:val="26"/>
          <w:szCs w:val="32"/>
          <w14:ligatures w14:val="none"/>
        </w:rPr>
        <w:t>Monitoring and review</w:t>
      </w:r>
      <w:bookmarkEnd w:id="10"/>
      <w:bookmarkEnd w:id="11"/>
      <w:bookmarkEnd w:id="31"/>
    </w:p>
    <w:p w14:paraId="44425299" w14:textId="77777777" w:rsidR="008D7145" w:rsidRPr="008D7145" w:rsidRDefault="008D7145" w:rsidP="008D7145">
      <w:pPr>
        <w:spacing w:after="240" w:line="240" w:lineRule="auto"/>
        <w:ind w:left="851" w:hanging="851"/>
        <w:rPr>
          <w:rFonts w:ascii="Arial" w:eastAsia="Calibri" w:hAnsi="Arial" w:cs="Times New Roman"/>
          <w:kern w:val="0"/>
          <w:szCs w:val="22"/>
          <w14:ligatures w14:val="none"/>
        </w:rPr>
      </w:pPr>
      <w:r w:rsidRPr="008D7145">
        <w:rPr>
          <w:rFonts w:ascii="Arial" w:eastAsia="Calibri" w:hAnsi="Arial" w:cs="Times New Roman"/>
          <w:kern w:val="0"/>
          <w:szCs w:val="22"/>
          <w14:ligatures w14:val="none"/>
        </w:rPr>
        <w:t>7.1</w:t>
      </w:r>
      <w:r w:rsidRPr="008D7145">
        <w:rPr>
          <w:rFonts w:ascii="Arial" w:eastAsia="Calibri" w:hAnsi="Arial" w:cs="Times New Roman"/>
          <w:kern w:val="0"/>
          <w:szCs w:val="22"/>
          <w14:ligatures w14:val="none"/>
        </w:rPr>
        <w:tab/>
        <w:t>This policy will be regularly reviewed in consultation with recognised trade unions to ensure it continues to treat all employees equally, fairly and without discrimination.</w:t>
      </w:r>
    </w:p>
    <w:p w14:paraId="146C0713" w14:textId="77777777" w:rsidR="008D7145" w:rsidRDefault="008D7145"/>
    <w:sectPr w:rsidR="008D7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02313"/>
    <w:multiLevelType w:val="hybridMultilevel"/>
    <w:tmpl w:val="7BA0422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B9E2E32"/>
    <w:multiLevelType w:val="hybridMultilevel"/>
    <w:tmpl w:val="CB3E890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63EF211B"/>
    <w:multiLevelType w:val="hybridMultilevel"/>
    <w:tmpl w:val="72AE21C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2041280933">
    <w:abstractNumId w:val="0"/>
  </w:num>
  <w:num w:numId="2" w16cid:durableId="676271415">
    <w:abstractNumId w:val="2"/>
  </w:num>
  <w:num w:numId="3" w16cid:durableId="235746284">
    <w:abstractNumId w:val="1"/>
  </w:num>
  <w:num w:numId="4" w16cid:durableId="200285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45"/>
    <w:rsid w:val="008D7145"/>
    <w:rsid w:val="00B21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51CB"/>
  <w15:chartTrackingRefBased/>
  <w15:docId w15:val="{7D5F8EB6-A35F-47AD-B1B7-06E9268F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145"/>
    <w:rPr>
      <w:rFonts w:eastAsiaTheme="majorEastAsia" w:cstheme="majorBidi"/>
      <w:color w:val="272727" w:themeColor="text1" w:themeTint="D8"/>
    </w:rPr>
  </w:style>
  <w:style w:type="paragraph" w:styleId="Title">
    <w:name w:val="Title"/>
    <w:basedOn w:val="Normal"/>
    <w:next w:val="Normal"/>
    <w:link w:val="TitleChar"/>
    <w:uiPriority w:val="10"/>
    <w:qFormat/>
    <w:rsid w:val="008D7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145"/>
    <w:pPr>
      <w:spacing w:before="160"/>
      <w:jc w:val="center"/>
    </w:pPr>
    <w:rPr>
      <w:i/>
      <w:iCs/>
      <w:color w:val="404040" w:themeColor="text1" w:themeTint="BF"/>
    </w:rPr>
  </w:style>
  <w:style w:type="character" w:customStyle="1" w:styleId="QuoteChar">
    <w:name w:val="Quote Char"/>
    <w:basedOn w:val="DefaultParagraphFont"/>
    <w:link w:val="Quote"/>
    <w:uiPriority w:val="29"/>
    <w:rsid w:val="008D7145"/>
    <w:rPr>
      <w:i/>
      <w:iCs/>
      <w:color w:val="404040" w:themeColor="text1" w:themeTint="BF"/>
    </w:rPr>
  </w:style>
  <w:style w:type="paragraph" w:styleId="ListParagraph">
    <w:name w:val="List Paragraph"/>
    <w:basedOn w:val="Normal"/>
    <w:uiPriority w:val="34"/>
    <w:qFormat/>
    <w:rsid w:val="008D7145"/>
    <w:pPr>
      <w:ind w:left="720"/>
      <w:contextualSpacing/>
    </w:pPr>
  </w:style>
  <w:style w:type="character" w:styleId="IntenseEmphasis">
    <w:name w:val="Intense Emphasis"/>
    <w:basedOn w:val="DefaultParagraphFont"/>
    <w:uiPriority w:val="21"/>
    <w:qFormat/>
    <w:rsid w:val="008D7145"/>
    <w:rPr>
      <w:i/>
      <w:iCs/>
      <w:color w:val="0F4761" w:themeColor="accent1" w:themeShade="BF"/>
    </w:rPr>
  </w:style>
  <w:style w:type="paragraph" w:styleId="IntenseQuote">
    <w:name w:val="Intense Quote"/>
    <w:basedOn w:val="Normal"/>
    <w:next w:val="Normal"/>
    <w:link w:val="IntenseQuoteChar"/>
    <w:uiPriority w:val="30"/>
    <w:qFormat/>
    <w:rsid w:val="008D7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145"/>
    <w:rPr>
      <w:i/>
      <w:iCs/>
      <w:color w:val="0F4761" w:themeColor="accent1" w:themeShade="BF"/>
    </w:rPr>
  </w:style>
  <w:style w:type="character" w:styleId="IntenseReference">
    <w:name w:val="Intense Reference"/>
    <w:basedOn w:val="DefaultParagraphFont"/>
    <w:uiPriority w:val="32"/>
    <w:qFormat/>
    <w:rsid w:val="008D7145"/>
    <w:rPr>
      <w:b/>
      <w:bCs/>
      <w:smallCaps/>
      <w:color w:val="0F4761" w:themeColor="accent1" w:themeShade="BF"/>
      <w:spacing w:val="5"/>
    </w:rPr>
  </w:style>
  <w:style w:type="numbering" w:customStyle="1" w:styleId="StyleBulletedSymbolsymbolLeft063cmHanging063cm">
    <w:name w:val="Style Bulleted Symbol (symbol) Left:  0.63 cm Hanging:  0.63 cm"/>
    <w:basedOn w:val="NoList"/>
    <w:rsid w:val="008D714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6871</Characters>
  <Application>Microsoft Office Word</Application>
  <DocSecurity>0</DocSecurity>
  <Lines>57</Lines>
  <Paragraphs>16</Paragraphs>
  <ScaleCrop>false</ScaleCrop>
  <Company>Oxford City Council</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Jonathan</dc:creator>
  <cp:keywords/>
  <dc:description/>
  <cp:lastModifiedBy>MALTON Jonathan</cp:lastModifiedBy>
  <cp:revision>1</cp:revision>
  <dcterms:created xsi:type="dcterms:W3CDTF">2025-07-02T18:32:00Z</dcterms:created>
  <dcterms:modified xsi:type="dcterms:W3CDTF">2025-07-02T18:35:00Z</dcterms:modified>
</cp:coreProperties>
</file>